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13"/>
        <w:gridCol w:w="5705"/>
      </w:tblGrid>
      <w:tr w:rsidR="002B3D10" w:rsidRPr="002B3D10" w:rsidTr="002B3D10">
        <w:trPr>
          <w:tblCellSpacing w:w="0" w:type="dxa"/>
        </w:trPr>
        <w:tc>
          <w:tcPr>
            <w:tcW w:w="3313" w:type="dxa"/>
            <w:shd w:val="clear" w:color="auto" w:fill="FFFFFF"/>
            <w:tcMar>
              <w:top w:w="0" w:type="dxa"/>
              <w:left w:w="108" w:type="dxa"/>
              <w:bottom w:w="0" w:type="dxa"/>
              <w:right w:w="108" w:type="dxa"/>
            </w:tcMar>
            <w:hideMark/>
          </w:tcPr>
          <w:p w:rsidR="002B3D10" w:rsidRPr="002B3D10" w:rsidRDefault="002B3D10" w:rsidP="002B3D10">
            <w:pPr>
              <w:spacing w:before="120" w:after="120" w:line="234" w:lineRule="atLeast"/>
              <w:jc w:val="center"/>
              <w:rPr>
                <w:rFonts w:ascii="Arial" w:eastAsia="Times New Roman" w:hAnsi="Arial" w:cs="Arial"/>
                <w:color w:val="000000"/>
                <w:sz w:val="18"/>
                <w:szCs w:val="18"/>
              </w:rPr>
            </w:pPr>
            <w:r w:rsidRPr="002B3D10">
              <w:rPr>
                <w:rFonts w:ascii="Arial" w:eastAsia="Times New Roman" w:hAnsi="Arial" w:cs="Arial"/>
                <w:color w:val="000000"/>
                <w:sz w:val="18"/>
                <w:szCs w:val="18"/>
              </w:rPr>
              <w:t>BỘ TÀI CHÍNH</w:t>
            </w:r>
            <w:r w:rsidRPr="002B3D10">
              <w:rPr>
                <w:rFonts w:ascii="Arial" w:eastAsia="Times New Roman" w:hAnsi="Arial" w:cs="Arial"/>
                <w:color w:val="000000"/>
                <w:sz w:val="18"/>
                <w:szCs w:val="18"/>
              </w:rPr>
              <w:br/>
            </w:r>
            <w:r w:rsidRPr="002B3D10">
              <w:rPr>
                <w:rFonts w:ascii="Arial" w:eastAsia="Times New Roman" w:hAnsi="Arial" w:cs="Arial"/>
                <w:b/>
                <w:bCs/>
                <w:color w:val="000000"/>
                <w:sz w:val="18"/>
                <w:szCs w:val="18"/>
              </w:rPr>
              <w:t>TỔNG CỤC THUẾ</w:t>
            </w:r>
            <w:r w:rsidRPr="002B3D10">
              <w:rPr>
                <w:rFonts w:ascii="Arial" w:eastAsia="Times New Roman" w:hAnsi="Arial" w:cs="Arial"/>
                <w:b/>
                <w:bCs/>
                <w:color w:val="000000"/>
                <w:sz w:val="18"/>
                <w:szCs w:val="18"/>
              </w:rPr>
              <w:br/>
              <w:t> -------</w:t>
            </w:r>
          </w:p>
        </w:tc>
        <w:tc>
          <w:tcPr>
            <w:tcW w:w="5705" w:type="dxa"/>
            <w:shd w:val="clear" w:color="auto" w:fill="FFFFFF"/>
            <w:tcMar>
              <w:top w:w="0" w:type="dxa"/>
              <w:left w:w="108" w:type="dxa"/>
              <w:bottom w:w="0" w:type="dxa"/>
              <w:right w:w="108" w:type="dxa"/>
            </w:tcMar>
            <w:hideMark/>
          </w:tcPr>
          <w:p w:rsidR="002B3D10" w:rsidRPr="002B3D10" w:rsidRDefault="002B3D10" w:rsidP="002B3D10">
            <w:pPr>
              <w:spacing w:before="120" w:after="120" w:line="234" w:lineRule="atLeast"/>
              <w:jc w:val="center"/>
              <w:rPr>
                <w:rFonts w:ascii="Arial" w:eastAsia="Times New Roman" w:hAnsi="Arial" w:cs="Arial"/>
                <w:color w:val="000000"/>
                <w:sz w:val="18"/>
                <w:szCs w:val="18"/>
              </w:rPr>
            </w:pPr>
            <w:r w:rsidRPr="002B3D10">
              <w:rPr>
                <w:rFonts w:ascii="Arial" w:eastAsia="Times New Roman" w:hAnsi="Arial" w:cs="Arial"/>
                <w:b/>
                <w:bCs/>
                <w:color w:val="000000"/>
                <w:sz w:val="18"/>
                <w:szCs w:val="18"/>
              </w:rPr>
              <w:t>CỘNG HÒA XÃ HỘI CHỦ NGHĨA VIỆT NAM</w:t>
            </w:r>
            <w:r w:rsidRPr="002B3D10">
              <w:rPr>
                <w:rFonts w:ascii="Arial" w:eastAsia="Times New Roman" w:hAnsi="Arial" w:cs="Arial"/>
                <w:b/>
                <w:bCs/>
                <w:color w:val="000000"/>
                <w:sz w:val="18"/>
                <w:szCs w:val="18"/>
              </w:rPr>
              <w:br/>
              <w:t>Độc lập - Tự do - Hạnh phúc</w:t>
            </w:r>
            <w:r w:rsidRPr="002B3D10">
              <w:rPr>
                <w:rFonts w:ascii="Arial" w:eastAsia="Times New Roman" w:hAnsi="Arial" w:cs="Arial"/>
                <w:b/>
                <w:bCs/>
                <w:color w:val="000000"/>
                <w:sz w:val="18"/>
                <w:szCs w:val="18"/>
              </w:rPr>
              <w:br/>
              <w:t> ------------------</w:t>
            </w:r>
          </w:p>
        </w:tc>
      </w:tr>
      <w:tr w:rsidR="002B3D10" w:rsidRPr="002B3D10" w:rsidTr="002B3D10">
        <w:trPr>
          <w:tblCellSpacing w:w="0" w:type="dxa"/>
        </w:trPr>
        <w:tc>
          <w:tcPr>
            <w:tcW w:w="3313" w:type="dxa"/>
            <w:shd w:val="clear" w:color="auto" w:fill="FFFFFF"/>
            <w:tcMar>
              <w:top w:w="0" w:type="dxa"/>
              <w:left w:w="108" w:type="dxa"/>
              <w:bottom w:w="0" w:type="dxa"/>
              <w:right w:w="108" w:type="dxa"/>
            </w:tcMar>
            <w:hideMark/>
          </w:tcPr>
          <w:p w:rsidR="002B3D10" w:rsidRPr="002B3D10" w:rsidRDefault="002B3D10" w:rsidP="002B3D10">
            <w:pPr>
              <w:spacing w:before="120" w:after="12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Số: 3149/TCT-CS</w:t>
            </w:r>
            <w:r w:rsidRPr="002B3D10">
              <w:rPr>
                <w:rFonts w:ascii="Arial" w:eastAsia="Times New Roman" w:hAnsi="Arial" w:cs="Arial"/>
                <w:color w:val="000000"/>
                <w:sz w:val="18"/>
                <w:szCs w:val="18"/>
              </w:rPr>
              <w:br/>
            </w:r>
            <w:r w:rsidRPr="002B3D10">
              <w:rPr>
                <w:rFonts w:ascii="Arial" w:eastAsia="Times New Roman" w:hAnsi="Arial" w:cs="Arial"/>
                <w:i/>
                <w:iCs/>
                <w:color w:val="000000"/>
                <w:sz w:val="16"/>
                <w:szCs w:val="16"/>
              </w:rPr>
              <w:t>V/v: chính sách thuế</w:t>
            </w:r>
          </w:p>
        </w:tc>
        <w:tc>
          <w:tcPr>
            <w:tcW w:w="5705" w:type="dxa"/>
            <w:shd w:val="clear" w:color="auto" w:fill="FFFFFF"/>
            <w:tcMar>
              <w:top w:w="0" w:type="dxa"/>
              <w:left w:w="108" w:type="dxa"/>
              <w:bottom w:w="0" w:type="dxa"/>
              <w:right w:w="108" w:type="dxa"/>
            </w:tcMar>
            <w:hideMark/>
          </w:tcPr>
          <w:p w:rsidR="002B3D10" w:rsidRPr="002B3D10" w:rsidRDefault="002B3D10" w:rsidP="002B3D10">
            <w:pPr>
              <w:spacing w:before="120" w:after="120" w:line="234" w:lineRule="atLeast"/>
              <w:jc w:val="right"/>
              <w:rPr>
                <w:rFonts w:ascii="Arial" w:eastAsia="Times New Roman" w:hAnsi="Arial" w:cs="Arial"/>
                <w:color w:val="000000"/>
                <w:sz w:val="18"/>
                <w:szCs w:val="18"/>
              </w:rPr>
            </w:pPr>
            <w:r w:rsidRPr="002B3D10">
              <w:rPr>
                <w:rFonts w:ascii="Arial" w:eastAsia="Times New Roman" w:hAnsi="Arial" w:cs="Arial"/>
                <w:i/>
                <w:iCs/>
                <w:color w:val="000000"/>
                <w:sz w:val="18"/>
                <w:szCs w:val="18"/>
              </w:rPr>
              <w:t> Hà Nội, ngày 15 tháng 08 năm 2018</w:t>
            </w:r>
          </w:p>
        </w:tc>
      </w:tr>
    </w:tbl>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w:t>
      </w:r>
    </w:p>
    <w:p w:rsidR="002B3D10" w:rsidRPr="002B3D10" w:rsidRDefault="002B3D10" w:rsidP="002B3D10">
      <w:pPr>
        <w:shd w:val="clear" w:color="auto" w:fill="FFFFFF"/>
        <w:spacing w:before="120" w:after="120" w:line="234" w:lineRule="atLeast"/>
        <w:jc w:val="center"/>
        <w:rPr>
          <w:rFonts w:ascii="Arial" w:eastAsia="Times New Roman" w:hAnsi="Arial" w:cs="Arial"/>
          <w:color w:val="000000"/>
          <w:sz w:val="18"/>
          <w:szCs w:val="18"/>
        </w:rPr>
      </w:pPr>
      <w:r w:rsidRPr="002B3D10">
        <w:rPr>
          <w:rFonts w:ascii="Arial" w:eastAsia="Times New Roman" w:hAnsi="Arial" w:cs="Arial"/>
          <w:b/>
          <w:bCs/>
          <w:color w:val="000000"/>
          <w:sz w:val="18"/>
          <w:szCs w:val="18"/>
        </w:rPr>
        <w:t>Kính gửi:</w:t>
      </w:r>
      <w:r w:rsidRPr="002B3D10">
        <w:rPr>
          <w:rFonts w:ascii="Arial" w:eastAsia="Times New Roman" w:hAnsi="Arial" w:cs="Arial"/>
          <w:color w:val="000000"/>
          <w:sz w:val="18"/>
          <w:szCs w:val="18"/>
        </w:rPr>
        <w:t> Cục Thuế thành phố Hà Nội.</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Trả lời công văn số 12421/TCT-TTHT ngày 29/3/2018 và công văn số 47483/CT-TTHT ngày 9/7/2018 của Cục Thuế thành phố Hà Nội về chính sách thuế đối với chi phí quảng cáo trực tuyến, Tổng cục Thuế có ý kiến như sau:</w:t>
      </w:r>
    </w:p>
    <w:p w:rsidR="002B3D10" w:rsidRPr="002B3D10" w:rsidRDefault="002B3D10" w:rsidP="002B3D10">
      <w:pPr>
        <w:shd w:val="clear" w:color="auto" w:fill="FFFFFF"/>
        <w:spacing w:after="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Tại </w:t>
      </w:r>
      <w:bookmarkStart w:id="0" w:name="dc_1"/>
      <w:r w:rsidRPr="002B3D10">
        <w:rPr>
          <w:rFonts w:ascii="Arial" w:eastAsia="Times New Roman" w:hAnsi="Arial" w:cs="Arial"/>
          <w:color w:val="000000"/>
          <w:sz w:val="18"/>
          <w:szCs w:val="18"/>
        </w:rPr>
        <w:t>khoản 6 Điều 1 Luật số 31/2013/QH13</w:t>
      </w:r>
      <w:bookmarkEnd w:id="0"/>
      <w:r w:rsidRPr="002B3D10">
        <w:rPr>
          <w:rFonts w:ascii="Arial" w:eastAsia="Times New Roman" w:hAnsi="Arial" w:cs="Arial"/>
          <w:color w:val="000000"/>
          <w:sz w:val="18"/>
          <w:szCs w:val="18"/>
        </w:rPr>
        <w:t> sửa đổi, bổ sung </w:t>
      </w:r>
      <w:bookmarkStart w:id="1" w:name="dc_2"/>
      <w:r w:rsidRPr="002B3D10">
        <w:rPr>
          <w:rFonts w:ascii="Arial" w:eastAsia="Times New Roman" w:hAnsi="Arial" w:cs="Arial"/>
          <w:color w:val="000000"/>
          <w:sz w:val="18"/>
          <w:szCs w:val="18"/>
        </w:rPr>
        <w:t>Điều 12 Luật thuế GTGT số 13/2008/QH12</w:t>
      </w:r>
      <w:bookmarkEnd w:id="1"/>
      <w:r w:rsidRPr="002B3D10">
        <w:rPr>
          <w:rFonts w:ascii="Arial" w:eastAsia="Times New Roman" w:hAnsi="Arial" w:cs="Arial"/>
          <w:color w:val="000000"/>
          <w:sz w:val="18"/>
          <w:szCs w:val="18"/>
        </w:rPr>
        <w:t> quy định về khấu trừ thuế GTGT đầu vào như sau:</w:t>
      </w:r>
    </w:p>
    <w:p w:rsidR="002B3D10" w:rsidRPr="002B3D10" w:rsidRDefault="002B3D10" w:rsidP="002B3D10">
      <w:pPr>
        <w:shd w:val="clear" w:color="auto" w:fill="FFFFFF"/>
        <w:spacing w:after="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"6. </w:t>
      </w:r>
      <w:bookmarkStart w:id="2" w:name="dc_3"/>
      <w:r w:rsidRPr="002B3D10">
        <w:rPr>
          <w:rFonts w:ascii="Arial" w:eastAsia="Times New Roman" w:hAnsi="Arial" w:cs="Arial"/>
          <w:i/>
          <w:iCs/>
          <w:color w:val="000000"/>
          <w:sz w:val="18"/>
          <w:szCs w:val="18"/>
        </w:rPr>
        <w:t>Điều 12</w:t>
      </w:r>
      <w:bookmarkEnd w:id="2"/>
      <w:r w:rsidRPr="002B3D10">
        <w:rPr>
          <w:rFonts w:ascii="Arial" w:eastAsia="Times New Roman" w:hAnsi="Arial" w:cs="Arial"/>
          <w:i/>
          <w:iCs/>
          <w:color w:val="000000"/>
          <w:sz w:val="18"/>
          <w:szCs w:val="18"/>
        </w:rPr>
        <w:t> được sửa đổi, bổ sung như sau:</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proofErr w:type="gramStart"/>
      <w:r w:rsidRPr="002B3D10">
        <w:rPr>
          <w:rFonts w:ascii="Arial" w:eastAsia="Times New Roman" w:hAnsi="Arial" w:cs="Arial"/>
          <w:i/>
          <w:iCs/>
          <w:color w:val="000000"/>
          <w:sz w:val="18"/>
          <w:szCs w:val="18"/>
        </w:rPr>
        <w:t>"Điều 12.</w:t>
      </w:r>
      <w:proofErr w:type="gramEnd"/>
      <w:r w:rsidRPr="002B3D10">
        <w:rPr>
          <w:rFonts w:ascii="Arial" w:eastAsia="Times New Roman" w:hAnsi="Arial" w:cs="Arial"/>
          <w:i/>
          <w:iCs/>
          <w:color w:val="000000"/>
          <w:sz w:val="18"/>
          <w:szCs w:val="18"/>
        </w:rPr>
        <w:t xml:space="preserve"> Khấu trừ thuế giá trị gia tăng đầu vào</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1. </w:t>
      </w:r>
      <w:r w:rsidRPr="002B3D10">
        <w:rPr>
          <w:rFonts w:ascii="Arial" w:eastAsia="Times New Roman" w:hAnsi="Arial" w:cs="Arial"/>
          <w:color w:val="000000"/>
          <w:sz w:val="18"/>
          <w:szCs w:val="18"/>
        </w:rPr>
        <w:t>Cơ </w:t>
      </w:r>
      <w:r w:rsidRPr="002B3D10">
        <w:rPr>
          <w:rFonts w:ascii="Arial" w:eastAsia="Times New Roman" w:hAnsi="Arial" w:cs="Arial"/>
          <w:i/>
          <w:iCs/>
          <w:color w:val="000000"/>
          <w:sz w:val="18"/>
          <w:szCs w:val="18"/>
        </w:rPr>
        <w:t>sở kinh doanh nộp thuế </w:t>
      </w:r>
      <w:r w:rsidRPr="002B3D10">
        <w:rPr>
          <w:rFonts w:ascii="Arial" w:eastAsia="Times New Roman" w:hAnsi="Arial" w:cs="Arial"/>
          <w:color w:val="000000"/>
          <w:sz w:val="18"/>
          <w:szCs w:val="18"/>
        </w:rPr>
        <w:t>giá </w:t>
      </w:r>
      <w:r w:rsidRPr="002B3D10">
        <w:rPr>
          <w:rFonts w:ascii="Arial" w:eastAsia="Times New Roman" w:hAnsi="Arial" w:cs="Arial"/>
          <w:i/>
          <w:iCs/>
          <w:color w:val="000000"/>
          <w:sz w:val="18"/>
          <w:szCs w:val="18"/>
        </w:rPr>
        <w:t xml:space="preserve">trị gia tăng </w:t>
      </w:r>
      <w:proofErr w:type="gramStart"/>
      <w:r w:rsidRPr="002B3D10">
        <w:rPr>
          <w:rFonts w:ascii="Arial" w:eastAsia="Times New Roman" w:hAnsi="Arial" w:cs="Arial"/>
          <w:i/>
          <w:iCs/>
          <w:color w:val="000000"/>
          <w:sz w:val="18"/>
          <w:szCs w:val="18"/>
        </w:rPr>
        <w:t>theo</w:t>
      </w:r>
      <w:proofErr w:type="gramEnd"/>
      <w:r w:rsidRPr="002B3D10">
        <w:rPr>
          <w:rFonts w:ascii="Arial" w:eastAsia="Times New Roman" w:hAnsi="Arial" w:cs="Arial"/>
          <w:i/>
          <w:iCs/>
          <w:color w:val="000000"/>
          <w:sz w:val="18"/>
          <w:szCs w:val="18"/>
        </w:rPr>
        <w:t xml:space="preserve"> phương pháp khấu trừ thuế được khấu trừ thuế giá trị gia tăng đầu vào như sau:</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a) Thuế giá trị gia tăng đầu vào của hàng hóa, dịch vụ sử dụng cho sản xuất, kinh doanh hàng hóa, dịch vụ chịu thuế giá trị gia tăng được khấu trừ toàn bộ, kể cả thuế giá trị gia tăng đầu vào không được bồi thường của hàng hoá, dịch vụ chịu thuế giá trị gia tăng bị tổn thất;</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2. Điều kiện khấu trừ thuế giá trị gia tăng đầu vào được quy định như sau:</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a) Có hoá đơn giá trị gia tăng mua hàng hoá, dịch vụ hoặc chứng từ nộp thuế giá trị gia tăng ở khâu nhập khẩu;</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b) Có chứng từ thanh toán không dùng tiền mặt đối với hàng hóa, dịch vụ mua vào, trừ hàng hoá, dịch vụ mua từng lần có giá trị dưới hai mươi triệu đồng;</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c) Đối với hàng hoá, dịch vụ xuất khẩu, ngoài các điều kiện quy định tại điểm a và điểm b khoản này còn phải có: hợp đồng ký kết với bên nước ngoài về việc bán, gia công hàng hoá, cung ứng dịch vụ; hoá đơn bán hàng hoá, dịch vụ; chứng từ thanh toán không dùng tiền mặt; tờ khai hải quan đối với hàng hoá xuất khẩu.</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Việc thanh toán tiền hàng hoá, dịch vụ xuất khẩu dưới hình thức thanh toán bù trừ giữa hàng hóa, dịch vụ xuất khẩu với hàng hóa, dịch vụ nhập khẩu, trả nợ thay Nhà nước được coi là thanh toán không dùng tiền mặt.”.”</w:t>
      </w:r>
    </w:p>
    <w:p w:rsidR="002B3D10" w:rsidRPr="002B3D10" w:rsidRDefault="002B3D10" w:rsidP="002B3D10">
      <w:pPr>
        <w:shd w:val="clear" w:color="auto" w:fill="FFFFFF"/>
        <w:spacing w:after="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Tại </w:t>
      </w:r>
      <w:bookmarkStart w:id="3" w:name="dc_4"/>
      <w:r w:rsidRPr="002B3D10">
        <w:rPr>
          <w:rFonts w:ascii="Arial" w:eastAsia="Times New Roman" w:hAnsi="Arial" w:cs="Arial"/>
          <w:color w:val="000000"/>
          <w:sz w:val="18"/>
          <w:szCs w:val="18"/>
        </w:rPr>
        <w:t>Điều 15 Thông tư số 219/2013/TT-BTC</w:t>
      </w:r>
      <w:bookmarkEnd w:id="3"/>
      <w:r w:rsidRPr="002B3D10">
        <w:rPr>
          <w:rFonts w:ascii="Arial" w:eastAsia="Times New Roman" w:hAnsi="Arial" w:cs="Arial"/>
          <w:color w:val="000000"/>
          <w:sz w:val="18"/>
          <w:szCs w:val="18"/>
        </w:rPr>
        <w:t> ngày 31/12/2013 của Bộ Tài chính (đã được sửa đổi, bổ sung tại Thông tư số </w:t>
      </w:r>
      <w:hyperlink r:id="rId5" w:tgtFrame="_blank" w:tooltip="Thông tư 119/2014/TT-BTC" w:history="1">
        <w:r w:rsidRPr="002B3D10">
          <w:rPr>
            <w:rFonts w:ascii="Arial" w:eastAsia="Times New Roman" w:hAnsi="Arial" w:cs="Arial"/>
            <w:color w:val="0E70C3"/>
            <w:sz w:val="18"/>
            <w:szCs w:val="18"/>
          </w:rPr>
          <w:t>119/2014/TT-BTC</w:t>
        </w:r>
      </w:hyperlink>
      <w:r w:rsidRPr="002B3D10">
        <w:rPr>
          <w:rFonts w:ascii="Arial" w:eastAsia="Times New Roman" w:hAnsi="Arial" w:cs="Arial"/>
          <w:color w:val="000000"/>
          <w:sz w:val="18"/>
          <w:szCs w:val="18"/>
        </w:rPr>
        <w:t> ngày 25/8/2014, Thông tư số </w:t>
      </w:r>
      <w:hyperlink r:id="rId6" w:tgtFrame="_blank" w:tooltip="Thông tư 151/2014/TT-BTC" w:history="1">
        <w:r w:rsidRPr="002B3D10">
          <w:rPr>
            <w:rFonts w:ascii="Arial" w:eastAsia="Times New Roman" w:hAnsi="Arial" w:cs="Arial"/>
            <w:color w:val="0E70C3"/>
            <w:sz w:val="18"/>
            <w:szCs w:val="18"/>
          </w:rPr>
          <w:t>151/2014/TT-BTC</w:t>
        </w:r>
      </w:hyperlink>
      <w:r w:rsidRPr="002B3D10">
        <w:rPr>
          <w:rFonts w:ascii="Arial" w:eastAsia="Times New Roman" w:hAnsi="Arial" w:cs="Arial"/>
          <w:color w:val="000000"/>
          <w:sz w:val="18"/>
          <w:szCs w:val="18"/>
        </w:rPr>
        <w:t> ngày 10/10/2014, Thông tư số </w:t>
      </w:r>
      <w:hyperlink r:id="rId7" w:tgtFrame="_blank" w:tooltip="Thông tư 26/2015/TT-BTC" w:history="1">
        <w:r w:rsidRPr="002B3D10">
          <w:rPr>
            <w:rFonts w:ascii="Arial" w:eastAsia="Times New Roman" w:hAnsi="Arial" w:cs="Arial"/>
            <w:color w:val="0E70C3"/>
            <w:sz w:val="18"/>
            <w:szCs w:val="18"/>
          </w:rPr>
          <w:t>26/2015/TT-BTC</w:t>
        </w:r>
      </w:hyperlink>
      <w:r w:rsidRPr="002B3D10">
        <w:rPr>
          <w:rFonts w:ascii="Arial" w:eastAsia="Times New Roman" w:hAnsi="Arial" w:cs="Arial"/>
          <w:color w:val="000000"/>
          <w:sz w:val="18"/>
          <w:szCs w:val="18"/>
        </w:rPr>
        <w:t> ngày 27/2/2015 và Thông tư số </w:t>
      </w:r>
      <w:hyperlink r:id="rId8" w:tgtFrame="_blank" w:tooltip="Thông tư 173/2016/TT-BTC" w:history="1">
        <w:r w:rsidRPr="002B3D10">
          <w:rPr>
            <w:rFonts w:ascii="Arial" w:eastAsia="Times New Roman" w:hAnsi="Arial" w:cs="Arial"/>
            <w:color w:val="0E70C3"/>
            <w:sz w:val="18"/>
            <w:szCs w:val="18"/>
          </w:rPr>
          <w:t>173/2016/TT-BTC</w:t>
        </w:r>
      </w:hyperlink>
      <w:r w:rsidRPr="002B3D10">
        <w:rPr>
          <w:rFonts w:ascii="Arial" w:eastAsia="Times New Roman" w:hAnsi="Arial" w:cs="Arial"/>
          <w:color w:val="000000"/>
          <w:sz w:val="18"/>
          <w:szCs w:val="18"/>
        </w:rPr>
        <w:t> ngày 28/10/2016 của Bộ Tài chính) hướng dẫn như sau:</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proofErr w:type="gramStart"/>
      <w:r w:rsidRPr="002B3D10">
        <w:rPr>
          <w:rFonts w:ascii="Arial" w:eastAsia="Times New Roman" w:hAnsi="Arial" w:cs="Arial"/>
          <w:i/>
          <w:iCs/>
          <w:color w:val="000000"/>
          <w:sz w:val="18"/>
          <w:szCs w:val="18"/>
        </w:rPr>
        <w:t>"Điều 15.</w:t>
      </w:r>
      <w:proofErr w:type="gramEnd"/>
      <w:r w:rsidRPr="002B3D10">
        <w:rPr>
          <w:rFonts w:ascii="Arial" w:eastAsia="Times New Roman" w:hAnsi="Arial" w:cs="Arial"/>
          <w:i/>
          <w:iCs/>
          <w:color w:val="000000"/>
          <w:sz w:val="18"/>
          <w:szCs w:val="18"/>
        </w:rPr>
        <w:t xml:space="preserve"> Điều kiện khấu trừ thuế </w:t>
      </w:r>
      <w:r w:rsidRPr="002B3D10">
        <w:rPr>
          <w:rFonts w:ascii="Arial" w:eastAsia="Times New Roman" w:hAnsi="Arial" w:cs="Arial"/>
          <w:color w:val="000000"/>
          <w:sz w:val="18"/>
          <w:szCs w:val="18"/>
        </w:rPr>
        <w:t>giá </w:t>
      </w:r>
      <w:r w:rsidRPr="002B3D10">
        <w:rPr>
          <w:rFonts w:ascii="Arial" w:eastAsia="Times New Roman" w:hAnsi="Arial" w:cs="Arial"/>
          <w:i/>
          <w:iCs/>
          <w:color w:val="000000"/>
          <w:sz w:val="18"/>
          <w:szCs w:val="18"/>
        </w:rPr>
        <w:t>trị gia tăng đầu và</w:t>
      </w:r>
      <w:r w:rsidRPr="002B3D10">
        <w:rPr>
          <w:rFonts w:ascii="Arial" w:eastAsia="Times New Roman" w:hAnsi="Arial" w:cs="Arial"/>
          <w:color w:val="000000"/>
          <w:sz w:val="18"/>
          <w:szCs w:val="18"/>
        </w:rPr>
        <w:t>o</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1. Có hoá đơn giá trị gia tăng hợp pháp của hàng hoá,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 xml:space="preserve">2. Có chứng từ thanh toán không dùng tiền mặt đối với hàng hóa, dịch vụ mua vào (bao gồm cả hàng hoá nhập khẩu) từ hai mươi triệu đồng trở lên, trừ trường hợp tổng giá trị hàng hoá, dịch vụ mua vào từng lần </w:t>
      </w:r>
      <w:proofErr w:type="gramStart"/>
      <w:r w:rsidRPr="002B3D10">
        <w:rPr>
          <w:rFonts w:ascii="Arial" w:eastAsia="Times New Roman" w:hAnsi="Arial" w:cs="Arial"/>
          <w:i/>
          <w:iCs/>
          <w:color w:val="000000"/>
          <w:sz w:val="18"/>
          <w:szCs w:val="18"/>
        </w:rPr>
        <w:t>theo</w:t>
      </w:r>
      <w:proofErr w:type="gramEnd"/>
      <w:r w:rsidRPr="002B3D10">
        <w:rPr>
          <w:rFonts w:ascii="Arial" w:eastAsia="Times New Roman" w:hAnsi="Arial" w:cs="Arial"/>
          <w:i/>
          <w:iCs/>
          <w:color w:val="000000"/>
          <w:sz w:val="18"/>
          <w:szCs w:val="18"/>
        </w:rPr>
        <w:t xml:space="preserve"> hóa đơn dưới hai mươi triệu đồng theo giá đã có thuế GTGT.</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proofErr w:type="gramStart"/>
      <w:r w:rsidRPr="002B3D10">
        <w:rPr>
          <w:rFonts w:ascii="Arial" w:eastAsia="Times New Roman" w:hAnsi="Arial" w:cs="Arial"/>
          <w:i/>
          <w:iCs/>
          <w:color w:val="000000"/>
          <w:sz w:val="18"/>
          <w:szCs w:val="18"/>
        </w:rPr>
        <w:t>Chứng từ thanh toán không dùng tiền mặt gồm chứng từ thanh toán qua ngân hàng và chứng từ thanh toán không dùng tiền mặt khác hướng dẫn tại khoản 3 và khoản 4 Điều này.</w:t>
      </w:r>
      <w:proofErr w:type="gramEnd"/>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 xml:space="preserve">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w:t>
      </w:r>
      <w:r w:rsidRPr="002B3D10">
        <w:rPr>
          <w:rFonts w:ascii="Arial" w:eastAsia="Times New Roman" w:hAnsi="Arial" w:cs="Arial"/>
          <w:i/>
          <w:iCs/>
          <w:color w:val="000000"/>
          <w:sz w:val="18"/>
          <w:szCs w:val="18"/>
        </w:rPr>
        <w:lastRenderedPageBreak/>
        <w:t>thông báo với cơ quan thuế) 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w:t>
      </w:r>
    </w:p>
    <w:p w:rsidR="002B3D10" w:rsidRPr="002B3D10" w:rsidRDefault="002B3D10" w:rsidP="002B3D10">
      <w:pPr>
        <w:shd w:val="clear" w:color="auto" w:fill="FFFFFF"/>
        <w:spacing w:after="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Tại </w:t>
      </w:r>
      <w:bookmarkStart w:id="4" w:name="dc_5"/>
      <w:r w:rsidRPr="002B3D10">
        <w:rPr>
          <w:rFonts w:ascii="Arial" w:eastAsia="Times New Roman" w:hAnsi="Arial" w:cs="Arial"/>
          <w:color w:val="000000"/>
          <w:sz w:val="18"/>
          <w:szCs w:val="18"/>
        </w:rPr>
        <w:t>khoản 1 Điều 1 Thông tư số 103/2014/TT-BTC</w:t>
      </w:r>
      <w:bookmarkEnd w:id="4"/>
      <w:r w:rsidRPr="002B3D10">
        <w:rPr>
          <w:rFonts w:ascii="Arial" w:eastAsia="Times New Roman" w:hAnsi="Arial" w:cs="Arial"/>
          <w:color w:val="000000"/>
          <w:sz w:val="18"/>
          <w:szCs w:val="18"/>
        </w:rPr>
        <w:t> ngày 06/8/2014 của Bộ Tài chính hướng dẫn thực hiện nghĩa vụ thuế áp dụng đối với tổ chức, cá nhân nước ngoài kinh doanh tại Việt Nam hoặc có thu nhập tại Việt Nam quy định về đối tượng áp dụng của Thông tư:</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1. Tổ chức nước ngoài kinh doanh có cơ sở thường trú tại Việt Nam hoặc không có cơ sở thường trú tại Việt Nam; cá nhân nước ngoài kinh doanh là đối tượng cư trú tại Việt Nam hoặc không là đối tượng cư trú tại Việt Nam (sau đây gọi chung là Nhà thầu nước ngoài, Nhà thầu phụ nước ngoài) kinh doanh tại Việt Nam hoặc có thu nhập phát sinh tại Việt Nam trên cơ sở hợp đồng, thoả thuận, hoặc cam kết giữa Nhà thầu nước ngoài với tổ chức, cá nhân Việt Nam hoặc giữa Nhà thầu nước ngoài với Nhà thầu phụ nước ngoài để thực hiện một phần công việc của Hợp đồng nhà thầu.</w:t>
      </w:r>
    </w:p>
    <w:p w:rsidR="002B3D10" w:rsidRPr="002B3D10" w:rsidRDefault="002B3D10" w:rsidP="002B3D10">
      <w:pPr>
        <w:shd w:val="clear" w:color="auto" w:fill="FFFFFF"/>
        <w:spacing w:after="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Tại </w:t>
      </w:r>
      <w:bookmarkStart w:id="5" w:name="dc_6"/>
      <w:r w:rsidRPr="002B3D10">
        <w:rPr>
          <w:rFonts w:ascii="Arial" w:eastAsia="Times New Roman" w:hAnsi="Arial" w:cs="Arial"/>
          <w:color w:val="000000"/>
          <w:sz w:val="18"/>
          <w:szCs w:val="18"/>
        </w:rPr>
        <w:t>khoản 2 điều 4 Thông tư số 103/2014/TT-BTC</w:t>
      </w:r>
      <w:bookmarkEnd w:id="5"/>
      <w:r w:rsidRPr="002B3D10">
        <w:rPr>
          <w:rFonts w:ascii="Arial" w:eastAsia="Times New Roman" w:hAnsi="Arial" w:cs="Arial"/>
          <w:color w:val="000000"/>
          <w:sz w:val="18"/>
          <w:szCs w:val="18"/>
        </w:rPr>
        <w:t> quy định về người nộp thuế:</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"…Người nộp thuế theo hướng dẫn tại khoản 2 Điều 4 Chương I có trách nhiệm khấu trừ số thuế giá trị gia tăng, thuế thu nhập doanh nghiệp hướng dẫn tại Mục 3 Chương II trước khi thanh toán cho Nhà thầu nước ngoài, Nhà thầu phụ nước ngoài.”.</w:t>
      </w:r>
    </w:p>
    <w:p w:rsidR="002B3D10" w:rsidRPr="002B3D10" w:rsidRDefault="002B3D10" w:rsidP="002B3D10">
      <w:pPr>
        <w:shd w:val="clear" w:color="auto" w:fill="FFFFFF"/>
        <w:spacing w:after="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Tại </w:t>
      </w:r>
      <w:bookmarkStart w:id="6" w:name="dc_7"/>
      <w:r w:rsidRPr="002B3D10">
        <w:rPr>
          <w:rFonts w:ascii="Arial" w:eastAsia="Times New Roman" w:hAnsi="Arial" w:cs="Arial"/>
          <w:color w:val="000000"/>
          <w:sz w:val="18"/>
          <w:szCs w:val="18"/>
        </w:rPr>
        <w:t>khoản 1 Điều 6 Thông tư số 103/2014/TT-BTC</w:t>
      </w:r>
      <w:bookmarkEnd w:id="6"/>
      <w:r w:rsidRPr="002B3D10">
        <w:rPr>
          <w:rFonts w:ascii="Arial" w:eastAsia="Times New Roman" w:hAnsi="Arial" w:cs="Arial"/>
          <w:color w:val="000000"/>
          <w:sz w:val="18"/>
          <w:szCs w:val="18"/>
        </w:rPr>
        <w:t> quy định về đối tượng chịu thuế GTGT:</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“1. Dịch vụ hoặc dịch vụ gắn với hàng hoá thuộc đối tượng chịu thuế GTGT do Nhà thầu nước ngoài, Nhà thầu phụ nước ngoài cung cấp trên cơ sở hợp đồng nhà thầu, hợp đồng nhà thầu phụ sử dụng cho sản xuất, kinh doanh và tiêu dùng tại Việt Nam (trừ trường hợp quy định tại Điều 2 Chương I), bao gồm:…”</w:t>
      </w:r>
    </w:p>
    <w:p w:rsidR="002B3D10" w:rsidRPr="002B3D10" w:rsidRDefault="002B3D10" w:rsidP="002B3D10">
      <w:pPr>
        <w:shd w:val="clear" w:color="auto" w:fill="FFFFFF"/>
        <w:spacing w:after="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Tại </w:t>
      </w:r>
      <w:bookmarkStart w:id="7" w:name="dc_8"/>
      <w:r w:rsidRPr="002B3D10">
        <w:rPr>
          <w:rFonts w:ascii="Arial" w:eastAsia="Times New Roman" w:hAnsi="Arial" w:cs="Arial"/>
          <w:color w:val="000000"/>
          <w:sz w:val="18"/>
          <w:szCs w:val="18"/>
        </w:rPr>
        <w:t>khoản 3 Điều 20 Thông tư số 156/2013/TT-BTC</w:t>
      </w:r>
      <w:bookmarkEnd w:id="7"/>
      <w:r w:rsidRPr="002B3D10">
        <w:rPr>
          <w:rFonts w:ascii="Arial" w:eastAsia="Times New Roman" w:hAnsi="Arial" w:cs="Arial"/>
          <w:color w:val="000000"/>
          <w:sz w:val="18"/>
          <w:szCs w:val="18"/>
        </w:rPr>
        <w:t> ngày 06/11/2013 của Bộ Tài chính hướng dẫn về quản lý thuế quy định về khai thuế đối với trường hợp Nhà thầu nước ngoài nộp thuế GTGT tính trực tiếp trên GTGT, nộp thuế TNDN theo tỷ lệ % tính trên doanh thu:</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proofErr w:type="gramStart"/>
      <w:r w:rsidRPr="002B3D10">
        <w:rPr>
          <w:rFonts w:ascii="Arial" w:eastAsia="Times New Roman" w:hAnsi="Arial" w:cs="Arial"/>
          <w:i/>
          <w:iCs/>
          <w:color w:val="000000"/>
          <w:sz w:val="18"/>
          <w:szCs w:val="18"/>
        </w:rPr>
        <w:t>"- Bên Việt Nam ký hợp đồng với Nhà thầu nước ngoài khấu trừ và nộp thuế thay cho Nhà thầu nước ngoài và nộp hồ sơ khai thuế, hồ sơ khai quyết toán thuế cho cơ quan thuế quản lý trực tiếp của bên Việt Nam.”</w:t>
      </w:r>
      <w:proofErr w:type="gramEnd"/>
    </w:p>
    <w:p w:rsidR="002B3D10" w:rsidRPr="002B3D10" w:rsidRDefault="002B3D10" w:rsidP="002B3D10">
      <w:pPr>
        <w:shd w:val="clear" w:color="auto" w:fill="FFFFFF"/>
        <w:spacing w:after="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Tại </w:t>
      </w:r>
      <w:bookmarkStart w:id="8" w:name="dc_9"/>
      <w:r w:rsidRPr="002B3D10">
        <w:rPr>
          <w:rFonts w:ascii="Arial" w:eastAsia="Times New Roman" w:hAnsi="Arial" w:cs="Arial"/>
          <w:color w:val="000000"/>
          <w:sz w:val="18"/>
          <w:szCs w:val="18"/>
        </w:rPr>
        <w:t>Điều 4 Thông tư 96/2015/TT-BTC</w:t>
      </w:r>
      <w:bookmarkEnd w:id="8"/>
      <w:r w:rsidRPr="002B3D10">
        <w:rPr>
          <w:rFonts w:ascii="Arial" w:eastAsia="Times New Roman" w:hAnsi="Arial" w:cs="Arial"/>
          <w:color w:val="000000"/>
          <w:sz w:val="18"/>
          <w:szCs w:val="18"/>
        </w:rPr>
        <w:t> ngày 22/06/2015 của Bộ Tài chính hướng dẫn về thuế sửa đổi, bổ sung </w:t>
      </w:r>
      <w:bookmarkStart w:id="9" w:name="dc_10"/>
      <w:r w:rsidRPr="002B3D10">
        <w:rPr>
          <w:rFonts w:ascii="Arial" w:eastAsia="Times New Roman" w:hAnsi="Arial" w:cs="Arial"/>
          <w:color w:val="000000"/>
          <w:sz w:val="18"/>
          <w:szCs w:val="18"/>
        </w:rPr>
        <w:t>Điều 6 Thông tư số 78/2014/TT-BTC</w:t>
      </w:r>
      <w:bookmarkEnd w:id="9"/>
      <w:r w:rsidRPr="002B3D10">
        <w:rPr>
          <w:rFonts w:ascii="Arial" w:eastAsia="Times New Roman" w:hAnsi="Arial" w:cs="Arial"/>
          <w:color w:val="000000"/>
          <w:sz w:val="18"/>
          <w:szCs w:val="18"/>
        </w:rPr>
        <w:t> ngày 18/06/2014 của Bộ Tài chính) như sau:</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proofErr w:type="gramStart"/>
      <w:r w:rsidRPr="002B3D10">
        <w:rPr>
          <w:rFonts w:ascii="Arial" w:eastAsia="Times New Roman" w:hAnsi="Arial" w:cs="Arial"/>
          <w:i/>
          <w:iCs/>
          <w:color w:val="000000"/>
          <w:sz w:val="18"/>
          <w:szCs w:val="18"/>
        </w:rPr>
        <w:t>"Điều 6.</w:t>
      </w:r>
      <w:proofErr w:type="gramEnd"/>
      <w:r w:rsidRPr="002B3D10">
        <w:rPr>
          <w:rFonts w:ascii="Arial" w:eastAsia="Times New Roman" w:hAnsi="Arial" w:cs="Arial"/>
          <w:i/>
          <w:iCs/>
          <w:color w:val="000000"/>
          <w:sz w:val="18"/>
          <w:szCs w:val="18"/>
        </w:rPr>
        <w:t xml:space="preserve"> Các khoản chi được trừ và không được trừ khi xác định </w:t>
      </w:r>
      <w:proofErr w:type="gramStart"/>
      <w:r w:rsidRPr="002B3D10">
        <w:rPr>
          <w:rFonts w:ascii="Arial" w:eastAsia="Times New Roman" w:hAnsi="Arial" w:cs="Arial"/>
          <w:i/>
          <w:iCs/>
          <w:color w:val="000000"/>
          <w:sz w:val="18"/>
          <w:szCs w:val="18"/>
        </w:rPr>
        <w:t>thu</w:t>
      </w:r>
      <w:proofErr w:type="gramEnd"/>
      <w:r w:rsidRPr="002B3D10">
        <w:rPr>
          <w:rFonts w:ascii="Arial" w:eastAsia="Times New Roman" w:hAnsi="Arial" w:cs="Arial"/>
          <w:i/>
          <w:iCs/>
          <w:color w:val="000000"/>
          <w:sz w:val="18"/>
          <w:szCs w:val="18"/>
        </w:rPr>
        <w:t xml:space="preserve"> nhập chịu thuế</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1. Trừ các khoản chi không được trừ nêu tại Khoản 2 Điều này, doanh nghiệp được trừ mọi khoản chi nếu đáp ứng đủ các điều kiện sau:</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a) Khoản chi thực tế phát sinh liên quan đến hoạt động sản xuất, kinh doanh của doanh nghiệp.</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 xml:space="preserve">b) Khoản chi có đủ hoá đơn, chứng từ hợp pháp </w:t>
      </w:r>
      <w:proofErr w:type="gramStart"/>
      <w:r w:rsidRPr="002B3D10">
        <w:rPr>
          <w:rFonts w:ascii="Arial" w:eastAsia="Times New Roman" w:hAnsi="Arial" w:cs="Arial"/>
          <w:i/>
          <w:iCs/>
          <w:color w:val="000000"/>
          <w:sz w:val="18"/>
          <w:szCs w:val="18"/>
        </w:rPr>
        <w:t>theo</w:t>
      </w:r>
      <w:proofErr w:type="gramEnd"/>
      <w:r w:rsidRPr="002B3D10">
        <w:rPr>
          <w:rFonts w:ascii="Arial" w:eastAsia="Times New Roman" w:hAnsi="Arial" w:cs="Arial"/>
          <w:i/>
          <w:iCs/>
          <w:color w:val="000000"/>
          <w:sz w:val="18"/>
          <w:szCs w:val="18"/>
        </w:rPr>
        <w:t xml:space="preserve"> quy định của pháp luật.</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c) Khoản chi nếu có hoá đơn mua hàng hoá, dịch vụ từng lần có giá trị từ 20 triệu đồng trở lên (giá đã bao gồm thuế GTGT) khi thanh toán phải có chứng từ thanh toán không dùng tiền mặt.</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i/>
          <w:iCs/>
          <w:color w:val="000000"/>
          <w:sz w:val="18"/>
          <w:szCs w:val="18"/>
        </w:rPr>
        <w:t>Chứng từ thanh toán không dùng tiền mặt thực hiện theo quy định của các văn bản pháp luật về thuế giá trị gia tăng.</w:t>
      </w:r>
      <w:proofErr w:type="gramStart"/>
      <w:r w:rsidRPr="002B3D10">
        <w:rPr>
          <w:rFonts w:ascii="Arial" w:eastAsia="Times New Roman" w:hAnsi="Arial" w:cs="Arial"/>
          <w:i/>
          <w:iCs/>
          <w:color w:val="000000"/>
          <w:sz w:val="18"/>
          <w:szCs w:val="18"/>
        </w:rPr>
        <w:t>”.</w:t>
      </w:r>
      <w:proofErr w:type="gramEnd"/>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xml:space="preserve">Căn cứ các quy định trên, về nguyên tắc trường hợp Google, Facebook (Nhà thầu nước ngoài) ký hợp đồng với doanh nghiệp Việt Nam (bên Việt Nam) để cung cấp dịch vụ quảng cáo trên ứng dụng Google, Facebook và phát sinh thu nhập tại Việt Nam thì Google, Facebook thuộc đối tượng nộp thuế nhà thầu (thuế GTGT, thuế TNDN) tại Việt Nam. Doanh nghiệp Việt Nam có trách nhiệm khai, khấu trừ và nộp thuế thay cho Nhà thầu nước ngoài </w:t>
      </w:r>
      <w:proofErr w:type="gramStart"/>
      <w:r w:rsidRPr="002B3D10">
        <w:rPr>
          <w:rFonts w:ascii="Arial" w:eastAsia="Times New Roman" w:hAnsi="Arial" w:cs="Arial"/>
          <w:color w:val="000000"/>
          <w:sz w:val="18"/>
          <w:szCs w:val="18"/>
        </w:rPr>
        <w:t>theo</w:t>
      </w:r>
      <w:proofErr w:type="gramEnd"/>
      <w:r w:rsidRPr="002B3D10">
        <w:rPr>
          <w:rFonts w:ascii="Arial" w:eastAsia="Times New Roman" w:hAnsi="Arial" w:cs="Arial"/>
          <w:color w:val="000000"/>
          <w:sz w:val="18"/>
          <w:szCs w:val="18"/>
        </w:rPr>
        <w:t xml:space="preserve"> quy định.</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xml:space="preserve">Trường hợp doanh nghiệp có phát sinh quảng cáo trực tuyến trên Facebook, Google nếu khoản chi này đáp ứng đủ các điều kiện thực tế liên quan đến hoạt động sản xuất kinh doanh của doanh nghiệp, có đủ hoá đơn, chứng từ hợp </w:t>
      </w:r>
      <w:r w:rsidRPr="002B3D10">
        <w:rPr>
          <w:rFonts w:ascii="Arial" w:eastAsia="Times New Roman" w:hAnsi="Arial" w:cs="Arial"/>
          <w:color w:val="000000"/>
          <w:sz w:val="18"/>
          <w:szCs w:val="18"/>
        </w:rPr>
        <w:lastRenderedPageBreak/>
        <w:t>pháp mang tên, địa chỉ, mã số thuế của doanh nghiệp (trường hợp bên bán không cung cấp hoá đơn thì phải có tờ khai và chứng từ nộp thuế nhà thầu nước ngoài theo quy định) và chứng từ thanh toán theo quy định của pháp luật về thuế giá trị gia tăng thì được tính vào chi phí được trừ khi xác định thu nhập chịu thuế TNDN.</w:t>
      </w:r>
    </w:p>
    <w:p w:rsidR="002B3D10" w:rsidRPr="002B3D10" w:rsidRDefault="002B3D10" w:rsidP="002B3D10">
      <w:pPr>
        <w:shd w:val="clear" w:color="auto" w:fill="FFFFFF"/>
        <w:spacing w:after="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Về việc thanh toán không dùng tiền mặt khi mua hàng hoá, dịch vụ, Tổng cục Thuế đã có công văn số 3671/TCT-DNL ngày 16/8/2016 trả lời Công ty Viễn thông Quốc tế (VNPT-I) và công văn số </w:t>
      </w:r>
      <w:hyperlink r:id="rId9" w:tgtFrame="_blank" w:tooltip="Công văn 5465/TCT-KK" w:history="1">
        <w:r w:rsidRPr="002B3D10">
          <w:rPr>
            <w:rFonts w:ascii="Arial" w:eastAsia="Times New Roman" w:hAnsi="Arial" w:cs="Arial"/>
            <w:color w:val="0E70C3"/>
            <w:sz w:val="18"/>
            <w:szCs w:val="18"/>
          </w:rPr>
          <w:t>5465/TCT-KK</w:t>
        </w:r>
      </w:hyperlink>
      <w:r w:rsidRPr="002B3D10">
        <w:rPr>
          <w:rFonts w:ascii="Arial" w:eastAsia="Times New Roman" w:hAnsi="Arial" w:cs="Arial"/>
          <w:color w:val="000000"/>
          <w:sz w:val="18"/>
          <w:szCs w:val="18"/>
        </w:rPr>
        <w:t> ngày 25/11/2016 trả lời Công ty TNHH Samsung Electronics Việt Nam và Công ty Samsung Electronics Việt Nam Thái Nguyên về khấu trừ thuế GTGT đối với khoản chi được thanh toán bằng thẻ tín dụng cá nhân.</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Đề nghị Cục Thuế căn cứ quy định tại các văn bản quy phạm pháp luật nêu trên, rà soát điều kiện thực tế của Công ty cổ phần VTC dịch vụ di động và Công ty TNHH Dịch vụ và đầu tư Tân Long để xử lý theo đúng quy định./.</w:t>
      </w:r>
    </w:p>
    <w:p w:rsidR="002B3D10" w:rsidRPr="002B3D10" w:rsidRDefault="002B3D10" w:rsidP="002B3D10">
      <w:pPr>
        <w:shd w:val="clear" w:color="auto" w:fill="FFFFFF"/>
        <w:spacing w:before="120" w:after="120" w:line="234" w:lineRule="atLeast"/>
        <w:rPr>
          <w:rFonts w:ascii="Arial" w:eastAsia="Times New Roman" w:hAnsi="Arial" w:cs="Arial"/>
          <w:color w:val="000000"/>
          <w:sz w:val="18"/>
          <w:szCs w:val="18"/>
        </w:rPr>
      </w:pPr>
      <w:r w:rsidRPr="002B3D1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2B3D10" w:rsidRPr="002B3D10" w:rsidTr="002B3D10">
        <w:trPr>
          <w:tblCellSpacing w:w="0" w:type="dxa"/>
        </w:trPr>
        <w:tc>
          <w:tcPr>
            <w:tcW w:w="3828" w:type="dxa"/>
            <w:shd w:val="clear" w:color="auto" w:fill="FFFFFF"/>
            <w:tcMar>
              <w:top w:w="0" w:type="dxa"/>
              <w:left w:w="108" w:type="dxa"/>
              <w:bottom w:w="0" w:type="dxa"/>
              <w:right w:w="108" w:type="dxa"/>
            </w:tcMar>
            <w:hideMark/>
          </w:tcPr>
          <w:p w:rsidR="002B3D10" w:rsidRPr="002B3D10" w:rsidRDefault="002B3D10" w:rsidP="002B3D10">
            <w:pPr>
              <w:spacing w:before="120" w:after="120" w:line="234" w:lineRule="atLeast"/>
              <w:rPr>
                <w:rFonts w:ascii="Arial" w:eastAsia="Times New Roman" w:hAnsi="Arial" w:cs="Arial"/>
                <w:color w:val="000000"/>
                <w:sz w:val="18"/>
                <w:szCs w:val="18"/>
              </w:rPr>
            </w:pPr>
            <w:r w:rsidRPr="002B3D10">
              <w:rPr>
                <w:rFonts w:ascii="Arial" w:eastAsia="Times New Roman" w:hAnsi="Arial" w:cs="Arial"/>
                <w:b/>
                <w:bCs/>
                <w:i/>
                <w:iCs/>
                <w:color w:val="000000"/>
                <w:sz w:val="16"/>
                <w:szCs w:val="16"/>
              </w:rPr>
              <w:t> </w:t>
            </w:r>
          </w:p>
          <w:p w:rsidR="002B3D10" w:rsidRPr="002B3D10" w:rsidRDefault="002B3D10" w:rsidP="002B3D10">
            <w:pPr>
              <w:spacing w:before="120" w:after="120" w:line="234" w:lineRule="atLeast"/>
              <w:rPr>
                <w:rFonts w:ascii="Arial" w:eastAsia="Times New Roman" w:hAnsi="Arial" w:cs="Arial"/>
                <w:color w:val="000000"/>
                <w:sz w:val="18"/>
                <w:szCs w:val="18"/>
              </w:rPr>
            </w:pPr>
            <w:r w:rsidRPr="002B3D10">
              <w:rPr>
                <w:rFonts w:ascii="Arial" w:eastAsia="Times New Roman" w:hAnsi="Arial" w:cs="Arial"/>
                <w:b/>
                <w:bCs/>
                <w:i/>
                <w:iCs/>
                <w:color w:val="000000"/>
                <w:sz w:val="18"/>
                <w:szCs w:val="18"/>
              </w:rPr>
              <w:t>Nơi nhận:</w:t>
            </w:r>
            <w:r w:rsidRPr="002B3D10">
              <w:rPr>
                <w:rFonts w:ascii="Arial" w:eastAsia="Times New Roman" w:hAnsi="Arial" w:cs="Arial"/>
                <w:b/>
                <w:bCs/>
                <w:color w:val="000000"/>
                <w:sz w:val="18"/>
                <w:szCs w:val="18"/>
              </w:rPr>
              <w:br/>
            </w:r>
            <w:r w:rsidRPr="002B3D10">
              <w:rPr>
                <w:rFonts w:ascii="Arial" w:eastAsia="Times New Roman" w:hAnsi="Arial" w:cs="Arial"/>
                <w:color w:val="000000"/>
                <w:sz w:val="16"/>
                <w:szCs w:val="16"/>
              </w:rPr>
              <w:t>- Như trên; </w:t>
            </w:r>
            <w:r w:rsidRPr="002B3D10">
              <w:rPr>
                <w:rFonts w:ascii="Arial" w:eastAsia="Times New Roman" w:hAnsi="Arial" w:cs="Arial"/>
                <w:color w:val="000000"/>
                <w:sz w:val="16"/>
                <w:szCs w:val="16"/>
              </w:rPr>
              <w:br/>
              <w:t>- Phó TCTr – Cao Anh Tuấn (để b/c);</w:t>
            </w:r>
            <w:r w:rsidRPr="002B3D10">
              <w:rPr>
                <w:rFonts w:ascii="Arial" w:eastAsia="Times New Roman" w:hAnsi="Arial" w:cs="Arial"/>
                <w:color w:val="000000"/>
                <w:sz w:val="16"/>
                <w:szCs w:val="16"/>
              </w:rPr>
              <w:br/>
              <w:t>- Vụ CST, PC-BTC;</w:t>
            </w:r>
            <w:r w:rsidRPr="002B3D10">
              <w:rPr>
                <w:rFonts w:ascii="Arial" w:eastAsia="Times New Roman" w:hAnsi="Arial" w:cs="Arial"/>
                <w:color w:val="000000"/>
                <w:sz w:val="16"/>
                <w:szCs w:val="16"/>
              </w:rPr>
              <w:br/>
              <w:t>- Vụ PC-TCT;</w:t>
            </w:r>
            <w:r w:rsidRPr="002B3D10">
              <w:rPr>
                <w:rFonts w:ascii="Arial" w:eastAsia="Times New Roman" w:hAnsi="Arial" w:cs="Arial"/>
                <w:color w:val="000000"/>
                <w:sz w:val="16"/>
                <w:szCs w:val="16"/>
              </w:rPr>
              <w:br/>
              <w:t>- Lưu: VT, CS (3b).</w:t>
            </w:r>
          </w:p>
        </w:tc>
        <w:tc>
          <w:tcPr>
            <w:tcW w:w="5028" w:type="dxa"/>
            <w:shd w:val="clear" w:color="auto" w:fill="FFFFFF"/>
            <w:tcMar>
              <w:top w:w="0" w:type="dxa"/>
              <w:left w:w="108" w:type="dxa"/>
              <w:bottom w:w="0" w:type="dxa"/>
              <w:right w:w="108" w:type="dxa"/>
            </w:tcMar>
            <w:hideMark/>
          </w:tcPr>
          <w:p w:rsidR="002B3D10" w:rsidRPr="002B3D10" w:rsidRDefault="002B3D10" w:rsidP="002B3D10">
            <w:pPr>
              <w:spacing w:before="120" w:after="120" w:line="234" w:lineRule="atLeast"/>
              <w:jc w:val="center"/>
              <w:rPr>
                <w:rFonts w:ascii="Arial" w:eastAsia="Times New Roman" w:hAnsi="Arial" w:cs="Arial"/>
                <w:color w:val="000000"/>
                <w:sz w:val="18"/>
                <w:szCs w:val="18"/>
              </w:rPr>
            </w:pPr>
            <w:r w:rsidRPr="002B3D10">
              <w:rPr>
                <w:rFonts w:ascii="Arial" w:eastAsia="Times New Roman" w:hAnsi="Arial" w:cs="Arial"/>
                <w:b/>
                <w:bCs/>
                <w:color w:val="000000"/>
                <w:sz w:val="18"/>
                <w:szCs w:val="18"/>
              </w:rPr>
              <w:t>TL.TỔNG CỤC TRƯỞNG</w:t>
            </w:r>
            <w:r w:rsidRPr="002B3D10">
              <w:rPr>
                <w:rFonts w:ascii="Arial" w:eastAsia="Times New Roman" w:hAnsi="Arial" w:cs="Arial"/>
                <w:b/>
                <w:bCs/>
                <w:color w:val="000000"/>
                <w:sz w:val="18"/>
                <w:szCs w:val="18"/>
              </w:rPr>
              <w:br/>
              <w:t>VỤ TRƯỞNG VỤ CHÍNH SÁCH</w:t>
            </w:r>
            <w:r w:rsidRPr="002B3D10">
              <w:rPr>
                <w:rFonts w:ascii="Arial" w:eastAsia="Times New Roman" w:hAnsi="Arial" w:cs="Arial"/>
                <w:color w:val="000000"/>
                <w:sz w:val="18"/>
                <w:szCs w:val="18"/>
              </w:rPr>
              <w:br/>
            </w:r>
            <w:r w:rsidRPr="002B3D10">
              <w:rPr>
                <w:rFonts w:ascii="Arial" w:eastAsia="Times New Roman" w:hAnsi="Arial" w:cs="Arial"/>
                <w:color w:val="000000"/>
                <w:sz w:val="18"/>
                <w:szCs w:val="18"/>
              </w:rPr>
              <w:br/>
            </w:r>
            <w:r w:rsidRPr="002B3D10">
              <w:rPr>
                <w:rFonts w:ascii="Arial" w:eastAsia="Times New Roman" w:hAnsi="Arial" w:cs="Arial"/>
                <w:color w:val="000000"/>
                <w:sz w:val="18"/>
                <w:szCs w:val="18"/>
              </w:rPr>
              <w:br/>
            </w:r>
            <w:r w:rsidRPr="002B3D10">
              <w:rPr>
                <w:rFonts w:ascii="Arial" w:eastAsia="Times New Roman" w:hAnsi="Arial" w:cs="Arial"/>
                <w:color w:val="000000"/>
                <w:sz w:val="18"/>
                <w:szCs w:val="18"/>
              </w:rPr>
              <w:br/>
            </w:r>
            <w:r w:rsidRPr="002B3D10">
              <w:rPr>
                <w:rFonts w:ascii="Arial" w:eastAsia="Times New Roman" w:hAnsi="Arial" w:cs="Arial"/>
                <w:color w:val="000000"/>
                <w:sz w:val="18"/>
                <w:szCs w:val="18"/>
              </w:rPr>
              <w:br/>
            </w:r>
            <w:r w:rsidRPr="002B3D10">
              <w:rPr>
                <w:rFonts w:ascii="Arial" w:eastAsia="Times New Roman" w:hAnsi="Arial" w:cs="Arial"/>
                <w:b/>
                <w:bCs/>
                <w:color w:val="000000"/>
                <w:sz w:val="18"/>
                <w:szCs w:val="18"/>
              </w:rPr>
              <w:t>Lưu Đức Huy</w:t>
            </w:r>
          </w:p>
        </w:tc>
      </w:tr>
    </w:tbl>
    <w:p w:rsidR="002B3D10" w:rsidRPr="002B3D10" w:rsidRDefault="002B3D10" w:rsidP="002B3D10">
      <w:pPr>
        <w:shd w:val="clear" w:color="auto" w:fill="FFFFFF"/>
        <w:spacing w:before="120" w:after="120" w:line="234" w:lineRule="atLeast"/>
        <w:jc w:val="center"/>
        <w:rPr>
          <w:rFonts w:ascii="Arial" w:eastAsia="Times New Roman" w:hAnsi="Arial" w:cs="Arial"/>
          <w:color w:val="000000"/>
          <w:sz w:val="18"/>
          <w:szCs w:val="18"/>
        </w:rPr>
      </w:pPr>
      <w:r w:rsidRPr="002B3D10">
        <w:rPr>
          <w:rFonts w:ascii="Arial" w:eastAsia="Times New Roman" w:hAnsi="Arial" w:cs="Arial"/>
          <w:color w:val="000000"/>
          <w:sz w:val="18"/>
          <w:szCs w:val="18"/>
        </w:rPr>
        <w:t> </w:t>
      </w:r>
    </w:p>
    <w:p w:rsidR="001E5C48" w:rsidRDefault="001E5C48">
      <w:bookmarkStart w:id="10" w:name="_GoBack"/>
      <w:bookmarkEnd w:id="10"/>
    </w:p>
    <w:sectPr w:rsidR="001E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10"/>
    <w:rsid w:val="001E5C48"/>
    <w:rsid w:val="002B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D1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3D10"/>
    <w:rPr>
      <w:b/>
      <w:bCs/>
    </w:rPr>
  </w:style>
  <w:style w:type="character" w:styleId="Emphasis">
    <w:name w:val="Emphasis"/>
    <w:basedOn w:val="DefaultParagraphFont"/>
    <w:uiPriority w:val="20"/>
    <w:qFormat/>
    <w:rsid w:val="002B3D10"/>
    <w:rPr>
      <w:i/>
      <w:iCs/>
    </w:rPr>
  </w:style>
  <w:style w:type="character" w:styleId="Hyperlink">
    <w:name w:val="Hyperlink"/>
    <w:basedOn w:val="DefaultParagraphFont"/>
    <w:uiPriority w:val="99"/>
    <w:semiHidden/>
    <w:unhideWhenUsed/>
    <w:rsid w:val="002B3D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D1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3D10"/>
    <w:rPr>
      <w:b/>
      <w:bCs/>
    </w:rPr>
  </w:style>
  <w:style w:type="character" w:styleId="Emphasis">
    <w:name w:val="Emphasis"/>
    <w:basedOn w:val="DefaultParagraphFont"/>
    <w:uiPriority w:val="20"/>
    <w:qFormat/>
    <w:rsid w:val="002B3D10"/>
    <w:rPr>
      <w:i/>
      <w:iCs/>
    </w:rPr>
  </w:style>
  <w:style w:type="character" w:styleId="Hyperlink">
    <w:name w:val="Hyperlink"/>
    <w:basedOn w:val="DefaultParagraphFont"/>
    <w:uiPriority w:val="99"/>
    <w:semiHidden/>
    <w:unhideWhenUsed/>
    <w:rsid w:val="002B3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2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173-2016-tt-btc-sua-doi-kho-thu-nhat-khoan-3-dieu-15-thong-tu-219-2013-tt-btc-328110.aspx" TargetMode="External"/><Relationship Id="rId3" Type="http://schemas.openxmlformats.org/officeDocument/2006/relationships/settings" Target="settings.xml"/><Relationship Id="rId7" Type="http://schemas.openxmlformats.org/officeDocument/2006/relationships/hyperlink" Target="https://thuvienphapluat.vn/van-ban/thue-phi-le-phi/thong-tu-26-2015-tt-btc-huong-dan-12-2015-nd-cp-thue-gia-tri-gia-tang-sua-doi-39-2014-tt-btc-26717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thong-tu-151-2014-tt-btc-huong-dan-91-2014-nd-cp-sua-doi-bo-sung-nghi-dinh-quy-dinh-thue-253864.aspx" TargetMode="External"/><Relationship Id="rId11" Type="http://schemas.openxmlformats.org/officeDocument/2006/relationships/theme" Target="theme/theme1.xml"/><Relationship Id="rId5" Type="http://schemas.openxmlformats.org/officeDocument/2006/relationships/hyperlink" Target="https://thuvienphapluat.vn/van-ban/thue-phi-le-phi/thong-tu-119-2014-tt-btc-sua-doi-cac-thong-tu-de-cai-cach-don-gian-thu-tuc-hanh-chinh-ve-thue-246608.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cong-van/thue-phi-le-phi/cong-van-5465-tct-kk-2016-dieu-kien-khau-tru-thue-gia-tri-gia-tang-3484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2018-10-29T14:54:00Z</dcterms:created>
  <dcterms:modified xsi:type="dcterms:W3CDTF">2018-10-29T14:54:00Z</dcterms:modified>
</cp:coreProperties>
</file>